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D4" w:rsidRDefault="008B1ED4" w:rsidP="008B1ED4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  <w:r w:rsidRPr="008B1ED4">
        <w:rPr>
          <w:rFonts w:ascii="Arial" w:hAnsi="Arial" w:cs="Arial"/>
          <w:bCs/>
          <w:caps w:val="0"/>
          <w:noProof/>
          <w:kern w:val="0"/>
          <w:sz w:val="44"/>
          <w:szCs w:val="44"/>
          <w:lang w:val="en-ZA" w:eastAsia="en-ZA"/>
        </w:rPr>
        <w:drawing>
          <wp:inline distT="0" distB="0" distL="0" distR="0">
            <wp:extent cx="1473169" cy="164307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69" cy="16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5FCF" w:rsidRDefault="003B5FCF" w:rsidP="00771CB8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</w:p>
    <w:p w:rsidR="00771CB8" w:rsidRPr="00771CB8" w:rsidRDefault="008B1ED4" w:rsidP="00771CB8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  <w:r>
        <w:rPr>
          <w:rFonts w:ascii="Arial" w:hAnsi="Arial" w:cs="Arial"/>
          <w:bCs/>
          <w:caps w:val="0"/>
          <w:kern w:val="0"/>
          <w:sz w:val="44"/>
          <w:szCs w:val="44"/>
        </w:rPr>
        <w:t>BRIDGING PROVIDENT FUND</w:t>
      </w:r>
    </w:p>
    <w:p w:rsidR="009C455A" w:rsidRPr="00E7572F" w:rsidRDefault="009C455A" w:rsidP="009C455A">
      <w:pPr>
        <w:pStyle w:val="Title"/>
        <w:rPr>
          <w:sz w:val="44"/>
          <w:szCs w:val="44"/>
        </w:rPr>
      </w:pPr>
    </w:p>
    <w:p w:rsidR="009C455A" w:rsidRPr="00E7572F" w:rsidRDefault="008B1ED4" w:rsidP="008B1ED4">
      <w:pPr>
        <w:pStyle w:val="Title"/>
        <w:rPr>
          <w:sz w:val="44"/>
          <w:szCs w:val="44"/>
        </w:rPr>
      </w:pPr>
      <w:r>
        <w:rPr>
          <w:sz w:val="44"/>
          <w:szCs w:val="44"/>
        </w:rPr>
        <w:t>SERVICE PROVIDER</w:t>
      </w:r>
    </w:p>
    <w:p w:rsidR="009C455A" w:rsidRPr="00E7572F" w:rsidRDefault="009C455A" w:rsidP="009C455A">
      <w:pPr>
        <w:pStyle w:val="Title"/>
        <w:rPr>
          <w:sz w:val="44"/>
          <w:szCs w:val="44"/>
        </w:rPr>
      </w:pPr>
    </w:p>
    <w:p w:rsidR="009C455A" w:rsidRPr="00E7572F" w:rsidRDefault="009C455A" w:rsidP="009C455A">
      <w:pPr>
        <w:pStyle w:val="Title"/>
        <w:rPr>
          <w:sz w:val="44"/>
          <w:szCs w:val="44"/>
        </w:rPr>
      </w:pPr>
    </w:p>
    <w:p w:rsidR="009C455A" w:rsidRDefault="00590DE2" w:rsidP="009C455A">
      <w:pPr>
        <w:pStyle w:val="Title"/>
        <w:rPr>
          <w:sz w:val="44"/>
          <w:szCs w:val="44"/>
        </w:rPr>
      </w:pPr>
      <w:r>
        <w:rPr>
          <w:sz w:val="44"/>
          <w:szCs w:val="44"/>
        </w:rPr>
        <w:t>PERFO</w:t>
      </w:r>
      <w:r w:rsidR="00086649">
        <w:rPr>
          <w:sz w:val="44"/>
          <w:szCs w:val="44"/>
        </w:rPr>
        <w:t>R</w:t>
      </w:r>
      <w:r>
        <w:rPr>
          <w:sz w:val="44"/>
          <w:szCs w:val="44"/>
        </w:rPr>
        <w:t>MANCE ASSESSMENT</w:t>
      </w:r>
      <w:r w:rsidR="009C455A">
        <w:rPr>
          <w:sz w:val="44"/>
          <w:szCs w:val="44"/>
        </w:rPr>
        <w:t xml:space="preserve"> DOCUMENT</w:t>
      </w:r>
    </w:p>
    <w:p w:rsidR="009C455A" w:rsidRDefault="009C455A" w:rsidP="009C455A">
      <w:pPr>
        <w:pStyle w:val="Title"/>
        <w:rPr>
          <w:sz w:val="44"/>
          <w:szCs w:val="44"/>
        </w:rPr>
      </w:pPr>
    </w:p>
    <w:p w:rsidR="00086649" w:rsidRDefault="00086649">
      <w:pPr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086649" w:rsidRPr="00086649" w:rsidRDefault="00086649" w:rsidP="00086649">
      <w:pPr>
        <w:numPr>
          <w:ilvl w:val="0"/>
          <w:numId w:val="3"/>
        </w:numPr>
        <w:spacing w:after="0" w:line="288" w:lineRule="auto"/>
        <w:ind w:hanging="720"/>
        <w:jc w:val="both"/>
        <w:rPr>
          <w:rFonts w:ascii="Arial" w:hAnsi="Arial" w:cs="Arial"/>
          <w:b/>
        </w:rPr>
      </w:pPr>
      <w:r w:rsidRPr="00086649">
        <w:rPr>
          <w:rFonts w:ascii="Arial" w:hAnsi="Arial" w:cs="Arial"/>
          <w:b/>
        </w:rPr>
        <w:lastRenderedPageBreak/>
        <w:t>INTRODUCTION</w:t>
      </w:r>
    </w:p>
    <w:p w:rsidR="00086649" w:rsidRPr="00E7572F" w:rsidRDefault="00086649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A62B7B" w:rsidRDefault="009C455A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purpose of this performance </w:t>
      </w:r>
      <w:r w:rsidR="003F705E">
        <w:rPr>
          <w:rFonts w:ascii="Arial" w:hAnsi="Arial" w:cs="Arial"/>
          <w:lang w:val="en-ZA"/>
        </w:rPr>
        <w:t xml:space="preserve">assessment </w:t>
      </w:r>
      <w:r>
        <w:rPr>
          <w:rFonts w:ascii="Arial" w:hAnsi="Arial" w:cs="Arial"/>
          <w:lang w:val="en-ZA"/>
        </w:rPr>
        <w:t>document</w:t>
      </w:r>
      <w:r w:rsidRPr="00E7572F">
        <w:rPr>
          <w:rFonts w:ascii="Arial" w:hAnsi="Arial" w:cs="Arial"/>
          <w:lang w:val="en-ZA"/>
        </w:rPr>
        <w:t xml:space="preserve"> is</w:t>
      </w:r>
      <w:r w:rsidR="00771CB8">
        <w:rPr>
          <w:rFonts w:ascii="Arial" w:hAnsi="Arial" w:cs="Arial"/>
          <w:lang w:val="en-ZA"/>
        </w:rPr>
        <w:t xml:space="preserve"> to rate the performance of the service providers of the fund</w:t>
      </w:r>
      <w:r w:rsidR="003B5FCF">
        <w:rPr>
          <w:rFonts w:ascii="Arial" w:hAnsi="Arial" w:cs="Arial"/>
          <w:lang w:val="en-ZA"/>
        </w:rPr>
        <w:t xml:space="preserve"> for</w:t>
      </w:r>
      <w:r w:rsidR="00250608">
        <w:rPr>
          <w:rFonts w:ascii="Arial" w:hAnsi="Arial" w:cs="Arial"/>
          <w:lang w:val="en-ZA"/>
        </w:rPr>
        <w:t xml:space="preserve"> the year ended 31 March 2022</w:t>
      </w:r>
      <w:r w:rsidR="003B5FCF">
        <w:rPr>
          <w:rFonts w:ascii="Arial" w:hAnsi="Arial" w:cs="Arial"/>
          <w:lang w:val="en-ZA"/>
        </w:rPr>
        <w:t xml:space="preserve"> to </w:t>
      </w:r>
      <w:r w:rsidRPr="009C455A">
        <w:rPr>
          <w:rFonts w:ascii="Arial" w:hAnsi="Arial" w:cs="Arial"/>
          <w:lang w:val="en-ZA"/>
        </w:rPr>
        <w:t>identify areas whe</w:t>
      </w:r>
      <w:r w:rsidR="003B5FCF">
        <w:rPr>
          <w:rFonts w:ascii="Arial" w:hAnsi="Arial" w:cs="Arial"/>
          <w:lang w:val="en-ZA"/>
        </w:rPr>
        <w:t xml:space="preserve">re improvements are necessary. </w:t>
      </w:r>
      <w:r w:rsidR="00813D32">
        <w:rPr>
          <w:rFonts w:ascii="Arial" w:hAnsi="Arial" w:cs="Arial"/>
          <w:lang w:val="en-ZA"/>
        </w:rPr>
        <w:t xml:space="preserve">The performance </w:t>
      </w:r>
      <w:r w:rsidR="003F705E">
        <w:rPr>
          <w:rFonts w:ascii="Arial" w:hAnsi="Arial" w:cs="Arial"/>
          <w:lang w:val="en-ZA"/>
        </w:rPr>
        <w:t>assessment</w:t>
      </w:r>
      <w:r w:rsidR="00813D32">
        <w:rPr>
          <w:rFonts w:ascii="Arial" w:hAnsi="Arial" w:cs="Arial"/>
          <w:lang w:val="en-ZA"/>
        </w:rPr>
        <w:t xml:space="preserve"> is based on the</w:t>
      </w:r>
      <w:r w:rsidR="00A62B7B">
        <w:rPr>
          <w:rFonts w:ascii="Arial" w:hAnsi="Arial" w:cs="Arial"/>
          <w:lang w:val="en-ZA"/>
        </w:rPr>
        <w:t xml:space="preserve"> performance of the functions specified in the</w:t>
      </w:r>
      <w:r w:rsidR="00813D32">
        <w:rPr>
          <w:rFonts w:ascii="Arial" w:hAnsi="Arial" w:cs="Arial"/>
          <w:lang w:val="en-ZA"/>
        </w:rPr>
        <w:t xml:space="preserve"> </w:t>
      </w:r>
      <w:r w:rsidR="009A673B">
        <w:rPr>
          <w:rFonts w:ascii="Arial" w:hAnsi="Arial" w:cs="Arial"/>
          <w:lang w:val="en-ZA"/>
        </w:rPr>
        <w:t xml:space="preserve">service level agreements signed between the fund and the </w:t>
      </w:r>
      <w:r w:rsidR="00A15122">
        <w:rPr>
          <w:rFonts w:ascii="Arial" w:hAnsi="Arial" w:cs="Arial"/>
          <w:lang w:val="en-ZA"/>
        </w:rPr>
        <w:t xml:space="preserve">service providers listed in paragraph 2 below. </w:t>
      </w:r>
    </w:p>
    <w:p w:rsidR="00A15122" w:rsidRDefault="00A15122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EC4F2B" w:rsidRDefault="00A15122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n-ZA"/>
        </w:rPr>
      </w:pPr>
      <w:r w:rsidRPr="000C30E7">
        <w:rPr>
          <w:rFonts w:ascii="Arial" w:hAnsi="Arial" w:cs="Arial"/>
          <w:color w:val="000000"/>
          <w:lang w:eastAsia="en-ZA"/>
        </w:rPr>
        <w:t>The opinion poll will be based on a  4-point L</w:t>
      </w:r>
      <w:r>
        <w:rPr>
          <w:rFonts w:ascii="Arial" w:hAnsi="Arial" w:cs="Arial"/>
          <w:color w:val="000000"/>
          <w:lang w:eastAsia="en-ZA"/>
        </w:rPr>
        <w:t>ikert S</w:t>
      </w:r>
      <w:r w:rsidRPr="000C30E7">
        <w:rPr>
          <w:rFonts w:ascii="Arial" w:hAnsi="Arial" w:cs="Arial"/>
          <w:color w:val="000000"/>
          <w:lang w:eastAsia="en-ZA"/>
        </w:rPr>
        <w:t xml:space="preserve">cale which will provide the participants with response options for  </w:t>
      </w:r>
      <w:r>
        <w:rPr>
          <w:rFonts w:ascii="Arial" w:hAnsi="Arial" w:cs="Arial"/>
          <w:color w:val="000000"/>
          <w:lang w:eastAsia="en-ZA"/>
        </w:rPr>
        <w:t>1) strongly agree</w:t>
      </w:r>
      <w:r w:rsidRPr="000C30E7">
        <w:rPr>
          <w:rFonts w:ascii="Arial" w:hAnsi="Arial" w:cs="Arial"/>
          <w:color w:val="000000"/>
          <w:lang w:eastAsia="en-ZA"/>
        </w:rPr>
        <w:t xml:space="preserve">, </w:t>
      </w:r>
      <w:r>
        <w:rPr>
          <w:rFonts w:ascii="Arial" w:hAnsi="Arial" w:cs="Arial"/>
          <w:color w:val="000000"/>
          <w:lang w:eastAsia="en-ZA"/>
        </w:rPr>
        <w:t>2) Agree</w:t>
      </w:r>
      <w:r w:rsidRPr="000C30E7">
        <w:rPr>
          <w:rFonts w:ascii="Arial" w:hAnsi="Arial" w:cs="Arial"/>
          <w:color w:val="000000"/>
          <w:lang w:eastAsia="en-ZA"/>
        </w:rPr>
        <w:t xml:space="preserve">, </w:t>
      </w:r>
      <w:r>
        <w:rPr>
          <w:rFonts w:ascii="Arial" w:hAnsi="Arial" w:cs="Arial"/>
          <w:color w:val="000000"/>
          <w:lang w:eastAsia="en-ZA"/>
        </w:rPr>
        <w:t>3) Disagree</w:t>
      </w:r>
      <w:r w:rsidRPr="000C30E7">
        <w:rPr>
          <w:rFonts w:ascii="Arial" w:hAnsi="Arial" w:cs="Arial"/>
          <w:color w:val="000000"/>
          <w:lang w:eastAsia="en-ZA"/>
        </w:rPr>
        <w:t xml:space="preserve"> and </w:t>
      </w:r>
      <w:r>
        <w:rPr>
          <w:rFonts w:ascii="Arial" w:hAnsi="Arial" w:cs="Arial"/>
          <w:color w:val="000000"/>
          <w:lang w:eastAsia="en-ZA"/>
        </w:rPr>
        <w:t>4) strongly disagree for trustees</w:t>
      </w:r>
      <w:r w:rsidRPr="000C30E7">
        <w:rPr>
          <w:rFonts w:ascii="Arial" w:hAnsi="Arial" w:cs="Arial"/>
          <w:color w:val="000000"/>
          <w:lang w:eastAsia="en-ZA"/>
        </w:rPr>
        <w:t xml:space="preserve"> to report their </w:t>
      </w:r>
      <w:r>
        <w:rPr>
          <w:rFonts w:ascii="Arial" w:hAnsi="Arial" w:cs="Arial"/>
          <w:color w:val="000000"/>
          <w:lang w:eastAsia="en-ZA"/>
        </w:rPr>
        <w:t>views</w:t>
      </w:r>
      <w:r w:rsidRPr="000C30E7">
        <w:rPr>
          <w:rFonts w:ascii="Arial" w:hAnsi="Arial" w:cs="Arial"/>
          <w:color w:val="000000"/>
          <w:lang w:eastAsia="en-ZA"/>
        </w:rPr>
        <w:t xml:space="preserve"> based on their understanding of the </w:t>
      </w:r>
      <w:r>
        <w:rPr>
          <w:rFonts w:ascii="Arial" w:hAnsi="Arial" w:cs="Arial"/>
          <w:color w:val="000000"/>
          <w:lang w:eastAsia="en-ZA"/>
        </w:rPr>
        <w:t>service level agreements</w:t>
      </w:r>
      <w:r w:rsidRPr="000C30E7">
        <w:rPr>
          <w:rFonts w:ascii="Arial" w:hAnsi="Arial" w:cs="Arial"/>
          <w:color w:val="000000"/>
          <w:lang w:eastAsia="en-ZA"/>
        </w:rPr>
        <w:t xml:space="preserve"> </w:t>
      </w:r>
      <w:r w:rsidR="00EC4F2B">
        <w:rPr>
          <w:rFonts w:ascii="Arial" w:hAnsi="Arial" w:cs="Arial"/>
          <w:color w:val="000000"/>
          <w:lang w:eastAsia="en-ZA"/>
        </w:rPr>
        <w:t>of the respective service providers</w:t>
      </w:r>
      <w:r>
        <w:rPr>
          <w:rFonts w:ascii="Arial" w:hAnsi="Arial" w:cs="Arial"/>
          <w:color w:val="000000"/>
          <w:lang w:eastAsia="en-ZA"/>
        </w:rPr>
        <w:t>.</w:t>
      </w:r>
      <w:r w:rsidR="00EC4F2B">
        <w:rPr>
          <w:rFonts w:ascii="Arial" w:hAnsi="Arial" w:cs="Arial"/>
          <w:color w:val="000000"/>
          <w:lang w:eastAsia="en-ZA"/>
        </w:rPr>
        <w:t xml:space="preserve"> </w:t>
      </w:r>
    </w:p>
    <w:p w:rsidR="00EC4F2B" w:rsidRDefault="00EC4F2B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n-ZA"/>
        </w:rPr>
      </w:pPr>
    </w:p>
    <w:p w:rsidR="00EC4F2B" w:rsidRPr="00EC4F2B" w:rsidRDefault="00EC4F2B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r w:rsidRPr="00EC4F2B">
        <w:rPr>
          <w:rFonts w:ascii="Arial" w:eastAsia="Times New Roman" w:hAnsi="Arial" w:cs="Arial"/>
          <w:b/>
          <w:color w:val="000000"/>
          <w:sz w:val="16"/>
          <w:szCs w:val="16"/>
          <w:lang w:eastAsia="en-ZA"/>
        </w:rPr>
        <w:t>Option 1</w:t>
      </w:r>
      <w:r w:rsidRPr="00EC4F2B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ab/>
      </w:r>
      <w:r w:rsidRPr="00EC4F2B">
        <w:rPr>
          <w:rFonts w:ascii="Arial" w:eastAsia="Times New Roman" w:hAnsi="Arial" w:cs="Arial"/>
          <w:color w:val="000000"/>
          <w:sz w:val="16"/>
          <w:szCs w:val="16"/>
          <w:lang w:eastAsia="en-ZA"/>
        </w:rPr>
        <w:t>Strongly Agree = means that the service provider has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delivered an excellent performance above the SLA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expectations. 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  <w:r w:rsidRPr="00EC4F2B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</w:p>
    <w:p w:rsidR="00EC4F2B" w:rsidRDefault="00EC4F2B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r w:rsidRPr="00EC4F2B">
        <w:rPr>
          <w:rFonts w:ascii="Arial" w:eastAsia="Times New Roman" w:hAnsi="Arial" w:cs="Arial"/>
          <w:b/>
          <w:color w:val="000000"/>
          <w:sz w:val="16"/>
          <w:szCs w:val="16"/>
          <w:lang w:eastAsia="en-ZA"/>
        </w:rPr>
        <w:t>Option 2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Agree = means that the service provider has performed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>as expected in terms of the SLA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>.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</w:p>
    <w:p w:rsidR="00EC4F2B" w:rsidRDefault="00EC4F2B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r w:rsidRPr="00EC4F2B">
        <w:rPr>
          <w:rFonts w:ascii="Arial" w:eastAsia="Times New Roman" w:hAnsi="Arial" w:cs="Arial"/>
          <w:b/>
          <w:color w:val="000000"/>
          <w:sz w:val="16"/>
          <w:szCs w:val="16"/>
          <w:lang w:eastAsia="en-ZA"/>
        </w:rPr>
        <w:t>Option 3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Disagree = means that the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service provider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has not performed as expected in terms of the SLA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. </w:t>
      </w:r>
    </w:p>
    <w:p w:rsidR="00EC4F2B" w:rsidRDefault="00EC4F2B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r w:rsidRPr="00D52A0A">
        <w:rPr>
          <w:rFonts w:ascii="Arial" w:eastAsia="Times New Roman" w:hAnsi="Arial" w:cs="Arial"/>
          <w:b/>
          <w:color w:val="000000"/>
          <w:sz w:val="16"/>
          <w:szCs w:val="16"/>
          <w:lang w:eastAsia="en-ZA"/>
        </w:rPr>
        <w:t>Option 4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Strongly disagree = means that the service provider has not delivered 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at all. </w:t>
      </w:r>
    </w:p>
    <w:p w:rsidR="00A15122" w:rsidRDefault="00A15122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086649" w:rsidRDefault="00086649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1D55DC" w:rsidRPr="009A673B" w:rsidRDefault="00C51182" w:rsidP="00CC7ECC">
      <w:pPr>
        <w:pStyle w:val="ListParagraph"/>
        <w:numPr>
          <w:ilvl w:val="0"/>
          <w:numId w:val="3"/>
        </w:numPr>
        <w:spacing w:after="0" w:line="288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BATHO FINANCIAL ADVISORS (PTY) LTD</w:t>
      </w:r>
      <w:r w:rsidR="009A673B">
        <w:rPr>
          <w:rFonts w:ascii="Arial" w:hAnsi="Arial" w:cs="Arial"/>
          <w:b/>
        </w:rPr>
        <w:t xml:space="preserve"> (</w:t>
      </w:r>
      <w:r w:rsidR="00CC7ECC">
        <w:rPr>
          <w:rFonts w:ascii="Arial" w:hAnsi="Arial" w:cs="Arial"/>
          <w:b/>
        </w:rPr>
        <w:t>ADVISORY AND INTERMEDIARY SERVICES)</w:t>
      </w: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6582"/>
        <w:gridCol w:w="875"/>
        <w:gridCol w:w="734"/>
        <w:gridCol w:w="892"/>
        <w:gridCol w:w="913"/>
      </w:tblGrid>
      <w:tr w:rsidR="000B1105" w:rsidRPr="00D4228D" w:rsidTr="002E355E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B1105" w:rsidRPr="00D4228D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105" w:rsidRPr="00D4228D" w:rsidRDefault="000B1105" w:rsidP="000B11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BC0AF0">
              <w:rPr>
                <w:rFonts w:ascii="Arial" w:hAnsi="Arial" w:cs="Arial"/>
              </w:rPr>
              <w:t xml:space="preserve">                                                              </w:t>
            </w:r>
            <w:r w:rsidRPr="00D4228D">
              <w:rPr>
                <w:rFonts w:ascii="Arial" w:hAnsi="Arial" w:cs="Arial"/>
              </w:rPr>
              <w:t>Please tick:</w:t>
            </w:r>
          </w:p>
        </w:tc>
      </w:tr>
      <w:tr w:rsidR="000B1105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D4228D" w:rsidRDefault="000B1105" w:rsidP="002E355E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0B1105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069E">
              <w:rPr>
                <w:rFonts w:ascii="Arial" w:hAnsi="Arial" w:cs="Arial"/>
              </w:rPr>
              <w:t>Fulfil</w:t>
            </w:r>
            <w:r>
              <w:rPr>
                <w:rFonts w:ascii="Arial" w:hAnsi="Arial" w:cs="Arial"/>
              </w:rPr>
              <w:t>led</w:t>
            </w:r>
            <w:r w:rsidRPr="0092069E">
              <w:rPr>
                <w:rFonts w:ascii="Arial" w:hAnsi="Arial" w:cs="Arial"/>
              </w:rPr>
              <w:t xml:space="preserve"> its responsibility for </w:t>
            </w:r>
            <w:r>
              <w:rPr>
                <w:rFonts w:ascii="Arial" w:hAnsi="Arial" w:cs="Arial"/>
              </w:rPr>
              <w:t>risk rebroke exercise and risk advice.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CC7ECC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06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nsured the fund has an annual year planner that shows the due date of annual financial statements, member benefit statements, trustee meetings administration meetings and sub-committee meetings.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Compiled and distributed Trustee meeting packs at least eight (8) working days prior to the meeting date.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D8194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minutes for Trustee meetings were kept and pasted in the minute book in line with </w:t>
            </w:r>
            <w:r w:rsidRPr="00912854">
              <w:rPr>
                <w:rFonts w:ascii="Arial" w:hAnsi="Arial" w:cs="Arial"/>
              </w:rPr>
              <w:t xml:space="preserve">the provisions of Regulation </w:t>
            </w:r>
            <w:r>
              <w:rPr>
                <w:rFonts w:ascii="Arial" w:hAnsi="Arial" w:cs="Arial"/>
              </w:rPr>
              <w:t xml:space="preserve">31(c )of the Pension Fund Act.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Identified areas where Trustees require training and arranged the training for the Trustees.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Participated at Trustee meetings by giving advice to the Trustees on fund issues.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the Rules of the fund and rule amendments complied with legislation.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</w:tbl>
    <w:p w:rsidR="000B1105" w:rsidRDefault="000B1105">
      <w:r>
        <w:br w:type="page"/>
      </w:r>
    </w:p>
    <w:tbl>
      <w:tblPr>
        <w:tblW w:w="10823" w:type="dxa"/>
        <w:jc w:val="center"/>
        <w:tblLook w:val="0000" w:firstRow="0" w:lastRow="0" w:firstColumn="0" w:lastColumn="0" w:noHBand="0" w:noVBand="0"/>
      </w:tblPr>
      <w:tblGrid>
        <w:gridCol w:w="827"/>
        <w:gridCol w:w="6582"/>
        <w:gridCol w:w="875"/>
        <w:gridCol w:w="734"/>
        <w:gridCol w:w="892"/>
        <w:gridCol w:w="913"/>
      </w:tblGrid>
      <w:tr w:rsidR="000B1105" w:rsidRPr="00D4228D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D4228D" w:rsidRDefault="000B1105" w:rsidP="002E355E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Ensures that the fund’s Trustee fidelity insurance cover is renewed annually.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the investment managers and investments consultants are accountable to the board by arranging for report backs at trustee meetings.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general member communication as requested by the board is distributed to the employers for onward distribution to the members.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rPr>
          <w:trHeight w:val="575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presentations are conducted to prospective employers wanting to join the fund.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B60023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60023">
              <w:rPr>
                <w:rFonts w:ascii="Arial" w:hAnsi="Arial" w:cs="Arial"/>
              </w:rPr>
              <w:t xml:space="preserve">Assisted the Trustees in responding to adjudicator cases or court orders as a result of decisions or actions taken by the fund.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B60023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the Rules of the fund complied with legislation by drafting the necessary rule amendments.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730245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Pr="00730245">
              <w:rPr>
                <w:rFonts w:ascii="Arial" w:hAnsi="Arial" w:cs="Arial"/>
              </w:rPr>
              <w:t>here agreed with the</w:t>
            </w:r>
            <w:r>
              <w:rPr>
                <w:rFonts w:ascii="Arial" w:hAnsi="Arial" w:cs="Arial"/>
              </w:rPr>
              <w:t xml:space="preserve"> Fund, assisted the fund</w:t>
            </w:r>
            <w:r w:rsidRPr="007302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legal opinions on matters relating to the fund.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Default="000B1105" w:rsidP="000B110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Provided advisory services to the Regional Advisory Committees (RAC) and Local Advisory Committees (LAC) and escalated the RAC and LAC decisions and concerns to the board.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3F705E" w:rsidRDefault="000B1105" w:rsidP="002E355E">
            <w:pPr>
              <w:pStyle w:val="Header"/>
              <w:tabs>
                <w:tab w:val="clear" w:pos="4153"/>
                <w:tab w:val="clear" w:pos="8306"/>
              </w:tabs>
              <w:ind w:left="6619"/>
              <w:jc w:val="both"/>
              <w:rPr>
                <w:rFonts w:ascii="Arial" w:hAnsi="Arial" w:cs="Arial"/>
                <w:b/>
              </w:rPr>
            </w:pPr>
            <w:r w:rsidRPr="003F70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05" w:rsidRDefault="000B1105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</w:rPr>
              <w:t xml:space="preserve">Additional comments: </w:t>
            </w: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1105" w:rsidRPr="00D4228D" w:rsidTr="002E355E">
        <w:trPr>
          <w:trHeight w:val="39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D55DC" w:rsidRPr="00086649" w:rsidRDefault="001D55DC" w:rsidP="00001C3B">
      <w:pPr>
        <w:rPr>
          <w:rFonts w:ascii="Arial" w:hAnsi="Arial" w:cs="Arial"/>
          <w:lang w:val="en-ZA"/>
        </w:rPr>
      </w:pPr>
    </w:p>
    <w:p w:rsidR="001D55DC" w:rsidRPr="00BC0BD3" w:rsidRDefault="00C51182" w:rsidP="00BC0BD3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SELEKANE ASSET CONSULTANTS (PTY) LTD (INVESTMENT CONSULTANTS)</w:t>
      </w: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6527"/>
        <w:gridCol w:w="865"/>
        <w:gridCol w:w="872"/>
        <w:gridCol w:w="892"/>
        <w:gridCol w:w="972"/>
      </w:tblGrid>
      <w:tr w:rsidR="000B1105" w:rsidRPr="00D4228D" w:rsidTr="002E355E">
        <w:trPr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B1105" w:rsidRPr="00D4228D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105" w:rsidRPr="00D4228D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  <w:r w:rsidRPr="00D4228D">
              <w:rPr>
                <w:rFonts w:ascii="Arial" w:hAnsi="Arial" w:cs="Arial"/>
              </w:rPr>
              <w:t>Please tick:</w:t>
            </w:r>
          </w:p>
        </w:tc>
      </w:tr>
      <w:tr w:rsidR="000B1105" w:rsidRPr="00D4228D" w:rsidTr="00BC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D4228D" w:rsidRDefault="000B1105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206ECA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0B1105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  <w:hidden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0B1105" w:rsidRDefault="000B1105" w:rsidP="000B11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0B1105" w:rsidRPr="000B1105" w:rsidRDefault="000B1105" w:rsidP="000B11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0B1105" w:rsidRPr="000B1105" w:rsidRDefault="000B1105" w:rsidP="000B11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0B1105" w:rsidRPr="0092069E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investment advisory service to the Trustees.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the fund’s investment strategy was implemented, monitored and updated.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Ensured that the asset managers complied with legislation and regulations.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Reported Regulation 28 breaches and the reasons thereof to the Trustees.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Assisted the board in the structuring of investment mandates.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</w:tbl>
    <w:p w:rsidR="00BC0AF0" w:rsidRDefault="00BC0AF0">
      <w:r>
        <w:br w:type="page"/>
      </w:r>
    </w:p>
    <w:tbl>
      <w:tblPr>
        <w:tblW w:w="11010" w:type="dxa"/>
        <w:jc w:val="center"/>
        <w:tblLook w:val="0000" w:firstRow="0" w:lastRow="0" w:firstColumn="0" w:lastColumn="0" w:noHBand="0" w:noVBand="0"/>
      </w:tblPr>
      <w:tblGrid>
        <w:gridCol w:w="882"/>
        <w:gridCol w:w="6527"/>
        <w:gridCol w:w="865"/>
        <w:gridCol w:w="872"/>
        <w:gridCol w:w="892"/>
        <w:gridCol w:w="972"/>
      </w:tblGrid>
      <w:tr w:rsidR="00BC0AF0" w:rsidRPr="00D4228D" w:rsidTr="002E355E">
        <w:trPr>
          <w:trHeight w:val="512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0" w:rsidRPr="00D4228D" w:rsidRDefault="00BC0AF0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0" w:rsidRPr="00206ECA" w:rsidRDefault="00BC0AF0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0" w:rsidRPr="00206ECA" w:rsidRDefault="00BC0AF0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0" w:rsidRPr="00206ECA" w:rsidRDefault="00BC0AF0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0" w:rsidRPr="00206ECA" w:rsidRDefault="00BC0AF0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the investment managers carried out appropriate investment mandates as per Trustee’s decisions.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92069E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the fund’s was charged market related investment fees and assisted the Trustees with all investment contractual obligations.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CB4FBB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Facilitated discussions on the f</w:t>
            </w:r>
            <w:r w:rsidRPr="00CB4FBB">
              <w:rPr>
                <w:rFonts w:ascii="Arial" w:hAnsi="Arial" w:cs="Arial"/>
              </w:rPr>
              <w:t>und’s inve</w:t>
            </w:r>
            <w:r>
              <w:rPr>
                <w:rFonts w:ascii="Arial" w:hAnsi="Arial" w:cs="Arial"/>
              </w:rPr>
              <w:t>stment strategy and the drafted</w:t>
            </w:r>
            <w:r w:rsidRPr="00CB4FBB">
              <w:rPr>
                <w:rFonts w:ascii="Arial" w:hAnsi="Arial" w:cs="Arial"/>
              </w:rPr>
              <w:t xml:space="preserve"> the investment policy document to record the investment strategy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E02FF5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monthly and quarterly investment risk, performance and compliance report backs to the Trustees.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E02FF5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regular investment reports to the Investment Sub-Committee.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E02FF5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Participated in the fund’s assets manager due diligence exercises.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E02FF5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regular investment reports to the Investment Sub-Committee.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E02FF5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the Trustees with investment markets, trends, regulatory and product updates.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trHeight w:val="70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E02FF5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Conducted investment training to the Trustees to keep them abreast of industry jargon and industry developments.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E02FF5" w:rsidRDefault="000B1105" w:rsidP="000B110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Reviewed the fund’s custodial arrangements and reported to the Trustees.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0B1105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Default="000B1105" w:rsidP="002E355E">
            <w:pPr>
              <w:pStyle w:val="Header"/>
              <w:tabs>
                <w:tab w:val="clear" w:pos="4153"/>
                <w:tab w:val="clear" w:pos="8306"/>
              </w:tabs>
              <w:ind w:left="6619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F70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1105" w:rsidRPr="004D6EF5" w:rsidTr="002E355E">
        <w:trPr>
          <w:trHeight w:val="39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05" w:rsidRDefault="000B1105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</w:rPr>
              <w:t xml:space="preserve">Additional comments: </w:t>
            </w:r>
          </w:p>
        </w:tc>
      </w:tr>
      <w:tr w:rsidR="000B1105" w:rsidRPr="004D6EF5" w:rsidTr="002E355E">
        <w:trPr>
          <w:trHeight w:val="39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1105" w:rsidRPr="004D6EF5" w:rsidTr="002E355E">
        <w:trPr>
          <w:trHeight w:val="39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05" w:rsidRPr="004D6EF5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86176" w:rsidRPr="00086649" w:rsidRDefault="00586176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1138AE" w:rsidRPr="00062D91" w:rsidRDefault="00F46FF3" w:rsidP="00F46FF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F46FF3">
        <w:rPr>
          <w:rFonts w:ascii="Arial" w:hAnsi="Arial" w:cs="Arial"/>
          <w:b/>
        </w:rPr>
        <w:t>MORUBA CONSULTANTS AND ACTUARIES (Pty) Ltd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6468"/>
        <w:gridCol w:w="931"/>
        <w:gridCol w:w="941"/>
        <w:gridCol w:w="941"/>
        <w:gridCol w:w="937"/>
      </w:tblGrid>
      <w:tr w:rsidR="007138F1" w:rsidRPr="00D4228D" w:rsidTr="002E355E">
        <w:trPr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  <w:r w:rsidRPr="00D4228D">
              <w:rPr>
                <w:rFonts w:ascii="Arial" w:hAnsi="Arial" w:cs="Arial"/>
              </w:rPr>
              <w:t>Please tick:</w:t>
            </w:r>
          </w:p>
        </w:tc>
      </w:tr>
      <w:tr w:rsidR="007138F1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206ECA" w:rsidRDefault="007138F1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206ECA" w:rsidRDefault="007138F1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206ECA" w:rsidRDefault="007138F1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206ECA" w:rsidRDefault="007138F1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7138F1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  <w:hidden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7138F1" w:rsidRDefault="007138F1" w:rsidP="007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7138F1" w:rsidRPr="007138F1" w:rsidRDefault="007138F1" w:rsidP="007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7138F1" w:rsidRPr="007138F1" w:rsidRDefault="007138F1" w:rsidP="007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7138F1" w:rsidRPr="007138F1" w:rsidRDefault="007138F1" w:rsidP="007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7138F1" w:rsidRPr="0092069E" w:rsidRDefault="007138F1" w:rsidP="007138F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actuary attended Trustees meetings as and when required.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7138F1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92069E" w:rsidRDefault="007138F1" w:rsidP="007138F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actuary recommended annual bonus rates to be declared by the Trustees, if applicable.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7138F1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Default="007138F1" w:rsidP="007138F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actuary recommended the interim bonus rates to the be declared by the Trustees, if applicable.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7138F1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Default="007138F1" w:rsidP="007138F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monthly investment accruals to members fund credits.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</w:tbl>
    <w:p w:rsidR="007138F1" w:rsidRDefault="007138F1">
      <w:r>
        <w:br w:type="page"/>
      </w:r>
      <w:bookmarkStart w:id="0" w:name="_GoBack"/>
      <w:bookmarkEnd w:id="0"/>
    </w:p>
    <w:tbl>
      <w:tblPr>
        <w:tblW w:w="11159" w:type="dxa"/>
        <w:jc w:val="center"/>
        <w:tblLook w:val="0000" w:firstRow="0" w:lastRow="0" w:firstColumn="0" w:lastColumn="0" w:noHBand="0" w:noVBand="0"/>
      </w:tblPr>
      <w:tblGrid>
        <w:gridCol w:w="941"/>
        <w:gridCol w:w="6468"/>
        <w:gridCol w:w="931"/>
        <w:gridCol w:w="941"/>
        <w:gridCol w:w="941"/>
        <w:gridCol w:w="937"/>
      </w:tblGrid>
      <w:tr w:rsidR="007138F1" w:rsidRPr="00D4228D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206ECA" w:rsidRDefault="007138F1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206ECA" w:rsidRDefault="007138F1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206ECA" w:rsidRDefault="007138F1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206ECA" w:rsidRDefault="007138F1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7138F1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Default="007138F1" w:rsidP="007138F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Conducted statutory actuarial valuations every three years as required in terms of Section 16 of the Pension Funds Act.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7138F1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Default="007138F1" w:rsidP="007138F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Conducted interim valuations and actuarial reviews.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7138F1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Default="007138F1" w:rsidP="007138F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Liaised with the fund consultant and the administrator in preparation of section 14 transfer documentation.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7138F1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Default="007138F1" w:rsidP="007138F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Participated in the development and monitoring if the fund’s investment strategy.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D4228D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7138F1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086649" w:rsidRDefault="007138F1" w:rsidP="002E355E">
            <w:pPr>
              <w:pStyle w:val="Header"/>
              <w:tabs>
                <w:tab w:val="clear" w:pos="4153"/>
                <w:tab w:val="clear" w:pos="8306"/>
              </w:tabs>
              <w:ind w:left="661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64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138F1" w:rsidRPr="004D6EF5" w:rsidTr="002E355E">
        <w:trPr>
          <w:trHeight w:val="39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8F1" w:rsidRDefault="007138F1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</w:rPr>
              <w:t xml:space="preserve">Additional comments: </w:t>
            </w:r>
          </w:p>
        </w:tc>
      </w:tr>
      <w:tr w:rsidR="007138F1" w:rsidRPr="004D6EF5" w:rsidTr="002E355E">
        <w:trPr>
          <w:trHeight w:val="39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138F1" w:rsidRPr="004D6EF5" w:rsidTr="002E355E">
        <w:trPr>
          <w:trHeight w:val="39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8F1" w:rsidRPr="004D6EF5" w:rsidRDefault="007138F1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10046" w:rsidRDefault="00510046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395F3A" w:rsidRPr="00E7572F" w:rsidRDefault="008F2138" w:rsidP="00062D91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SANLAM LIFE ASSURANCE</w:t>
      </w:r>
      <w:r w:rsidR="008D5052">
        <w:rPr>
          <w:rFonts w:ascii="Arial" w:hAnsi="Arial" w:cs="Arial"/>
          <w:b/>
        </w:rPr>
        <w:t xml:space="preserve"> (PTY) LTD (ADMINISTRATOR) </w:t>
      </w:r>
    </w:p>
    <w:tbl>
      <w:tblPr>
        <w:tblW w:w="11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6491"/>
        <w:gridCol w:w="973"/>
        <w:gridCol w:w="976"/>
        <w:gridCol w:w="976"/>
        <w:gridCol w:w="937"/>
      </w:tblGrid>
      <w:tr w:rsidR="004206B0" w:rsidRPr="00D4228D" w:rsidTr="002E355E">
        <w:trPr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0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  <w:r w:rsidRPr="00D4228D">
              <w:rPr>
                <w:rFonts w:ascii="Arial" w:hAnsi="Arial" w:cs="Arial"/>
              </w:rPr>
              <w:t>Please tick:</w:t>
            </w:r>
          </w:p>
        </w:tc>
      </w:tr>
      <w:tr w:rsidR="004206B0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Pr="00206ECA" w:rsidRDefault="004206B0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Pr="00206ECA" w:rsidRDefault="004206B0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Pr="00206ECA" w:rsidRDefault="004206B0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Pr="00206ECA" w:rsidRDefault="004206B0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4206B0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  <w:hidden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E355E" w:rsidRDefault="002E355E" w:rsidP="002E35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2E355E" w:rsidRDefault="002E355E" w:rsidP="002E35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2E355E" w:rsidRDefault="002E355E" w:rsidP="002E35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2E355E" w:rsidRDefault="002E355E" w:rsidP="002E35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2E355E" w:rsidRDefault="002E355E" w:rsidP="002E35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4206B0" w:rsidRPr="0092069E" w:rsidRDefault="004206B0" w:rsidP="002E355E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administrator maintained and updated member records with the data supplied by the participating employers.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Pr="0092069E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employer contribution schedules were reconciled to bank deposits and discrepancies were communicated to participating employers.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Pr="00397449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Monitored</w:t>
            </w:r>
            <w:r w:rsidRPr="00931B67">
              <w:rPr>
                <w:rFonts w:ascii="Arial" w:hAnsi="Arial" w:cs="Arial"/>
              </w:rPr>
              <w:t xml:space="preserve"> the timeous receip</w:t>
            </w:r>
            <w:r>
              <w:rPr>
                <w:rFonts w:ascii="Arial" w:hAnsi="Arial" w:cs="Arial"/>
              </w:rPr>
              <w:t xml:space="preserve">t of contributions and ensured that arrear contributions were reported to the Principal Officer for onward reporting to authorities.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Ensured that late interest was levied on arrear contributions</w:t>
            </w:r>
            <w:r w:rsidRPr="00912854">
              <w:rPr>
                <w:rFonts w:ascii="Arial" w:hAnsi="Arial" w:cs="Arial"/>
              </w:rPr>
              <w:t xml:space="preserve"> levied as per Regulation 33(7</w:t>
            </w:r>
            <w:r>
              <w:rPr>
                <w:rFonts w:ascii="Arial" w:hAnsi="Arial" w:cs="Arial"/>
              </w:rPr>
              <w:t xml:space="preserve">) of the Pension Funds Act.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retirement benefits were processed and paid within the agreed turnaround times.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Ensured that withdrawal benefits were processed and paid within the agreed turnaround times.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death benefits were processed and paid within the agreed turnaround times after receipt of Trustees resolution.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Ensured that section 14 transfers were effected within 60 days of the date of the certificate issued by the Registrar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Ensured that risk claim forms and supporting documentation were transmitted to the insurer within the agreed turnaround time.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</w:tbl>
    <w:p w:rsidR="002E355E" w:rsidRDefault="002E355E">
      <w:r>
        <w:br w:type="page"/>
      </w:r>
    </w:p>
    <w:tbl>
      <w:tblPr>
        <w:tblW w:w="11329" w:type="dxa"/>
        <w:jc w:val="center"/>
        <w:tblLook w:val="0000" w:firstRow="0" w:lastRow="0" w:firstColumn="0" w:lastColumn="0" w:noHBand="0" w:noVBand="0"/>
      </w:tblPr>
      <w:tblGrid>
        <w:gridCol w:w="976"/>
        <w:gridCol w:w="6491"/>
        <w:gridCol w:w="973"/>
        <w:gridCol w:w="976"/>
        <w:gridCol w:w="976"/>
        <w:gridCol w:w="937"/>
      </w:tblGrid>
      <w:tr w:rsidR="002E355E" w:rsidRPr="00D4228D" w:rsidTr="002E355E"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4206B0" w:rsidRPr="00D7366A" w:rsidTr="002E355E"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Reconciled risk contributions received by the fund to paid disability premiums and ensured that the risk premiums were transmitted to the insurer on time. </w:t>
            </w:r>
          </w:p>
          <w:p w:rsidR="004206B0" w:rsidRDefault="004206B0" w:rsidP="002E355E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06B0" w:rsidRPr="004D7500" w:rsidRDefault="004206B0" w:rsidP="002E355E">
            <w:pPr>
              <w:spacing w:after="0" w:line="240" w:lineRule="auto"/>
              <w:ind w:left="10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D7500">
              <w:rPr>
                <w:rFonts w:ascii="Arial" w:hAnsi="Arial" w:cs="Arial"/>
                <w:i/>
                <w:sz w:val="16"/>
                <w:szCs w:val="16"/>
              </w:rPr>
              <w:t xml:space="preserve">Note. Trustees to consider whether there were any repudiated disability claims during the year as a result of late payment of premiums by the fund.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Reconciled risk contributions received by the fund to paid GLA premiums and ensured that the risk premiums were transmitted to the insurer on time. </w:t>
            </w:r>
          </w:p>
          <w:p w:rsidR="004206B0" w:rsidRDefault="004206B0" w:rsidP="002E355E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4206B0" w:rsidRDefault="004206B0" w:rsidP="002E355E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 w:rsidRPr="004D7500">
              <w:rPr>
                <w:rFonts w:ascii="Arial" w:hAnsi="Arial" w:cs="Arial"/>
                <w:i/>
                <w:sz w:val="16"/>
                <w:szCs w:val="16"/>
              </w:rPr>
              <w:t>Note. Trustees to consider whether there were any repudiated disability claims during the year as a result of late payment of premiums by the fund.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Annual Financial Statements and audit file within three months of the fund’s financial year end for the annual audit.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comprehensive administration and financial report to the Trustees regarding members statistics, claims, contributions, </w:t>
            </w:r>
            <w:proofErr w:type="spellStart"/>
            <w:r>
              <w:rPr>
                <w:rFonts w:ascii="Arial" w:hAnsi="Arial" w:cs="Arial"/>
              </w:rPr>
              <w:t>cashflow</w:t>
            </w:r>
            <w:proofErr w:type="spellEnd"/>
            <w:r>
              <w:rPr>
                <w:rFonts w:ascii="Arial" w:hAnsi="Arial" w:cs="Arial"/>
              </w:rPr>
              <w:t xml:space="preserve"> statements and South African Reserve Bank reporting.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benefit statements were printed and distributed to the employers on time.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4206B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</w:t>
            </w:r>
            <w:r w:rsidRPr="003331F4">
              <w:rPr>
                <w:rFonts w:ascii="Arial" w:hAnsi="Arial" w:cs="Arial"/>
              </w:rPr>
              <w:t xml:space="preserve"> divorce settlements in accordance with the terms of any court </w:t>
            </w:r>
            <w:r>
              <w:rPr>
                <w:rFonts w:ascii="Arial" w:hAnsi="Arial" w:cs="Arial"/>
              </w:rPr>
              <w:t>orders enforceable against the f</w:t>
            </w:r>
            <w:r w:rsidRPr="003331F4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D4228D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4206B0" w:rsidRPr="00D7366A" w:rsidTr="002E355E"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2E355E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206B0" w:rsidRPr="00D7366A" w:rsidTr="002E355E">
        <w:trPr>
          <w:jc w:val="center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Default="004206B0" w:rsidP="002E355E">
            <w:pPr>
              <w:pStyle w:val="Header"/>
              <w:tabs>
                <w:tab w:val="clear" w:pos="4153"/>
                <w:tab w:val="clear" w:pos="8306"/>
              </w:tabs>
              <w:ind w:left="6619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F70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206B0" w:rsidRPr="004D6EF5" w:rsidTr="002E355E">
        <w:trPr>
          <w:trHeight w:val="39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6B0" w:rsidRDefault="004206B0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</w:rPr>
              <w:t xml:space="preserve">Additional comments: </w:t>
            </w:r>
          </w:p>
        </w:tc>
      </w:tr>
      <w:tr w:rsidR="004206B0" w:rsidRPr="004D6EF5" w:rsidTr="002E355E">
        <w:trPr>
          <w:trHeight w:val="39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206B0" w:rsidRPr="004D6EF5" w:rsidTr="002E355E">
        <w:trPr>
          <w:trHeight w:val="39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6B0" w:rsidRPr="004D6EF5" w:rsidRDefault="004206B0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25BF1" w:rsidRDefault="00825BF1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F748A5" w:rsidRPr="00F748A5" w:rsidRDefault="00F46FF3" w:rsidP="00F748A5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RAND MUTAUL</w:t>
      </w:r>
      <w:r w:rsidR="00E5268F">
        <w:rPr>
          <w:rFonts w:ascii="Arial" w:hAnsi="Arial" w:cs="Arial"/>
          <w:b/>
        </w:rPr>
        <w:t xml:space="preserve"> ASSURANCE (RISK BENEFITS INSURER</w:t>
      </w:r>
      <w:r w:rsidR="00F748A5">
        <w:rPr>
          <w:rFonts w:ascii="Arial" w:hAnsi="Arial" w:cs="Arial"/>
          <w:b/>
        </w:rPr>
        <w:t xml:space="preserve">) </w:t>
      </w:r>
    </w:p>
    <w:tbl>
      <w:tblPr>
        <w:tblW w:w="11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6585"/>
        <w:gridCol w:w="954"/>
        <w:gridCol w:w="961"/>
        <w:gridCol w:w="961"/>
        <w:gridCol w:w="937"/>
      </w:tblGrid>
      <w:tr w:rsidR="002E355E" w:rsidRPr="00D4228D" w:rsidTr="002E355E">
        <w:trPr>
          <w:jc w:val="center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0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  <w:r w:rsidRPr="00D4228D">
              <w:rPr>
                <w:rFonts w:ascii="Arial" w:hAnsi="Arial" w:cs="Arial"/>
              </w:rPr>
              <w:t>Please tick:</w:t>
            </w:r>
          </w:p>
        </w:tc>
      </w:tr>
      <w:tr w:rsidR="002E355E" w:rsidRPr="00206EC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2E355E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hidden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E355E" w:rsidRDefault="002E355E" w:rsidP="002E35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2E355E" w:rsidRDefault="002E355E" w:rsidP="002E35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2E355E" w:rsidRDefault="002E355E" w:rsidP="002E35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2E355E" w:rsidRDefault="002E355E" w:rsidP="002E35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2E355E" w:rsidRDefault="002E355E" w:rsidP="002E35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2E355E" w:rsidRDefault="002E355E" w:rsidP="002E35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415C4C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15C4C">
              <w:rPr>
                <w:rFonts w:ascii="Arial" w:hAnsi="Arial" w:cs="Arial"/>
              </w:rPr>
              <w:t>he insurer inform</w:t>
            </w:r>
            <w:r>
              <w:rPr>
                <w:rFonts w:ascii="Arial" w:hAnsi="Arial" w:cs="Arial"/>
              </w:rPr>
              <w:t>ed</w:t>
            </w:r>
            <w:r w:rsidRPr="00415C4C">
              <w:rPr>
                <w:rFonts w:ascii="Arial" w:hAnsi="Arial" w:cs="Arial"/>
              </w:rPr>
              <w:t xml:space="preserve"> the Administrator and/or the fund of the due dates for the required claim documents once a </w:t>
            </w:r>
            <w:r>
              <w:rPr>
                <w:rFonts w:ascii="Arial" w:hAnsi="Arial" w:cs="Arial"/>
              </w:rPr>
              <w:t>claim was</w:t>
            </w:r>
            <w:r w:rsidRPr="00415C4C">
              <w:rPr>
                <w:rFonts w:ascii="Arial" w:hAnsi="Arial" w:cs="Arial"/>
              </w:rPr>
              <w:t xml:space="preserve"> lodged with the insurer.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415C4C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insurer informed the Administrator and/or the fund </w:t>
            </w:r>
            <w:r w:rsidRPr="00415C4C">
              <w:rPr>
                <w:rFonts w:ascii="Arial" w:hAnsi="Arial" w:cs="Arial"/>
              </w:rPr>
              <w:t xml:space="preserve">of the outstanding information and documentation.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415C4C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insurer sent out </w:t>
            </w:r>
            <w:r w:rsidRPr="00415C4C">
              <w:rPr>
                <w:rFonts w:ascii="Arial" w:hAnsi="Arial" w:cs="Arial"/>
              </w:rPr>
              <w:t>reminders to the Administrator and/or the fund until all documentation is received.</w:t>
            </w:r>
            <w:r w:rsidRPr="00415C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715EBF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insurer informed the Administrator and/or the fund on </w:t>
            </w:r>
            <w:r w:rsidRPr="00715EBF">
              <w:rPr>
                <w:rFonts w:ascii="Arial" w:hAnsi="Arial" w:cs="Arial"/>
              </w:rPr>
              <w:t xml:space="preserve">admitted, declined or deferred claims.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</w:tbl>
    <w:p w:rsidR="002E355E" w:rsidRDefault="002E355E">
      <w:r>
        <w:br w:type="page"/>
      </w:r>
    </w:p>
    <w:tbl>
      <w:tblPr>
        <w:tblW w:w="11359" w:type="dxa"/>
        <w:jc w:val="center"/>
        <w:tblLook w:val="0000" w:firstRow="0" w:lastRow="0" w:firstColumn="0" w:lastColumn="0" w:noHBand="0" w:noVBand="0"/>
      </w:tblPr>
      <w:tblGrid>
        <w:gridCol w:w="961"/>
        <w:gridCol w:w="6585"/>
        <w:gridCol w:w="954"/>
        <w:gridCol w:w="961"/>
        <w:gridCol w:w="961"/>
        <w:gridCol w:w="937"/>
      </w:tblGrid>
      <w:tr w:rsidR="002E355E" w:rsidRPr="00206ECA" w:rsidTr="002E355E"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2E355E" w:rsidRPr="00D4228D" w:rsidTr="002E355E"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insurer paid claims within the agreed turnaround times in line with the agreed turnaround times as per policy documents.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4228D" w:rsidTr="002E355E"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claims were repudiated the Trustees were informed and satisfied with the reasons provided by the insurer for repudiation of the claims.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4228D" w:rsidTr="002E355E"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715EBF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insurer informed the Administrator and/or the fund where </w:t>
            </w:r>
            <w:r w:rsidRPr="00715EBF">
              <w:rPr>
                <w:rFonts w:ascii="Arial" w:hAnsi="Arial" w:cs="Arial"/>
              </w:rPr>
              <w:t>disability premiums were</w:t>
            </w:r>
            <w:r>
              <w:rPr>
                <w:rFonts w:ascii="Arial" w:hAnsi="Arial" w:cs="Arial"/>
              </w:rPr>
              <w:t xml:space="preserve"> not</w:t>
            </w:r>
            <w:r w:rsidRPr="00715E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paid.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4228D" w:rsidTr="002E355E"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including those lodged with the office of the</w:t>
            </w:r>
            <w:r w:rsidRPr="00040A4B">
              <w:rPr>
                <w:rFonts w:ascii="Arial" w:hAnsi="Arial" w:cs="Arial"/>
              </w:rPr>
              <w:t xml:space="preserve"> Ombudsman for Long-term Insurance</w:t>
            </w:r>
            <w:r>
              <w:rPr>
                <w:rFonts w:ascii="Arial" w:hAnsi="Arial" w:cs="Arial"/>
              </w:rPr>
              <w:t xml:space="preserve"> relating to fund and employer’s risk benefits were adequately resolved by the insurer.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4228D" w:rsidTr="002E355E"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6C78C3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Trustees were satisfied with the </w:t>
            </w:r>
            <w:r w:rsidRPr="006C78C3">
              <w:rPr>
                <w:rFonts w:ascii="Arial" w:hAnsi="Arial" w:cs="Arial"/>
              </w:rPr>
              <w:t>Funeral Support Service</w:t>
            </w:r>
            <w:r>
              <w:rPr>
                <w:rFonts w:ascii="Arial" w:hAnsi="Arial" w:cs="Arial"/>
              </w:rPr>
              <w:t xml:space="preserve"> offered by the insurer. </w:t>
            </w:r>
            <w:r w:rsidRPr="006C78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4228D" w:rsidTr="002E355E"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040A4B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insurer communicated all policy changes and/or amendments (if any) to the Trustees within reasonable period of time before the changes could be implemented.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4228D" w:rsidTr="002E355E">
        <w:trPr>
          <w:trHeight w:val="278"/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Trustees were satisfied with the overall service level of the insurer in dealing with the fund’s risk benefits.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4D6EF5" w:rsidTr="002E355E">
        <w:trPr>
          <w:jc w:val="center"/>
        </w:trPr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Header"/>
              <w:tabs>
                <w:tab w:val="clear" w:pos="4153"/>
                <w:tab w:val="clear" w:pos="8306"/>
              </w:tabs>
              <w:ind w:left="6619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F70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55E" w:rsidRPr="004D6EF5" w:rsidTr="002E355E">
        <w:trPr>
          <w:trHeight w:val="39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5E" w:rsidRDefault="002E355E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</w:rPr>
              <w:t xml:space="preserve">Additional comments: </w:t>
            </w:r>
          </w:p>
        </w:tc>
      </w:tr>
      <w:tr w:rsidR="002E355E" w:rsidRPr="004D6EF5" w:rsidTr="002E355E">
        <w:trPr>
          <w:trHeight w:val="39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55E" w:rsidRPr="004D6EF5" w:rsidTr="002E355E">
        <w:trPr>
          <w:trHeight w:val="39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748A5" w:rsidRDefault="00F748A5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644CF1" w:rsidRDefault="00644CF1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644CF1" w:rsidRPr="00644CF1" w:rsidRDefault="00644CF1" w:rsidP="00644CF1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FAIRHEADS UMBRELLA BENEFICIARY FUND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6468"/>
        <w:gridCol w:w="931"/>
        <w:gridCol w:w="941"/>
        <w:gridCol w:w="941"/>
        <w:gridCol w:w="937"/>
      </w:tblGrid>
      <w:tr w:rsidR="002E355E" w:rsidRPr="00D4228D" w:rsidTr="002E355E">
        <w:trPr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  <w:r w:rsidRPr="00D4228D">
              <w:rPr>
                <w:rFonts w:ascii="Arial" w:hAnsi="Arial" w:cs="Arial"/>
              </w:rPr>
              <w:t>Please tick:</w:t>
            </w:r>
          </w:p>
        </w:tc>
      </w:tr>
      <w:tr w:rsidR="002E355E" w:rsidRPr="00D4228D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206ECA" w:rsidRDefault="002E355E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2E355E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  <w:hidden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E" w:rsidRPr="001A204E" w:rsidRDefault="001A204E" w:rsidP="001A20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1A204E" w:rsidRPr="001A204E" w:rsidRDefault="001A204E" w:rsidP="001A20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1A204E" w:rsidRPr="001A204E" w:rsidRDefault="001A204E" w:rsidP="001A20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1A204E" w:rsidRPr="001A204E" w:rsidRDefault="001A204E" w:rsidP="001A20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1A204E" w:rsidRPr="001A204E" w:rsidRDefault="001A204E" w:rsidP="001A20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1A204E" w:rsidRPr="001A204E" w:rsidRDefault="001A204E" w:rsidP="001A20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1A204E" w:rsidRPr="001A204E" w:rsidRDefault="001A204E" w:rsidP="001A20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vanish/>
              </w:rPr>
            </w:pPr>
          </w:p>
          <w:p w:rsidR="002E355E" w:rsidRPr="0092069E" w:rsidRDefault="002E355E" w:rsidP="001A204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beneficiary fund has a</w:t>
            </w:r>
            <w:r w:rsidRPr="005F23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valid </w:t>
            </w:r>
            <w:r w:rsidRPr="005F2319">
              <w:rPr>
                <w:rFonts w:ascii="Arial" w:hAnsi="Arial" w:cs="Arial"/>
              </w:rPr>
              <w:t>service level agreement</w:t>
            </w:r>
            <w:r>
              <w:rPr>
                <w:rFonts w:ascii="Arial" w:hAnsi="Arial" w:cs="Arial"/>
              </w:rPr>
              <w:t xml:space="preserve"> with</w:t>
            </w:r>
            <w:r w:rsidRPr="005F23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its current administrator.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A670CB" w:rsidRDefault="002E355E" w:rsidP="002E35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service level agreement between the Fund and the beneficiary fund had been recently reviewed.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Trustees are aware of the </w:t>
            </w:r>
            <w:r w:rsidRPr="00A670CB">
              <w:rPr>
                <w:rFonts w:ascii="Arial" w:hAnsi="Arial" w:cs="Arial"/>
              </w:rPr>
              <w:t xml:space="preserve">turnaround times relating to payments (regular and </w:t>
            </w:r>
            <w:proofErr w:type="spellStart"/>
            <w:r w:rsidRPr="00A670CB">
              <w:rPr>
                <w:rFonts w:ascii="Arial" w:hAnsi="Arial" w:cs="Arial"/>
              </w:rPr>
              <w:t>adhoc</w:t>
            </w:r>
            <w:proofErr w:type="spellEnd"/>
            <w:r w:rsidRPr="00A670C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made from the beneficiary fund in respect of the beneficiaries transferred by the Fund.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beneficiary fund</w:t>
            </w:r>
            <w:r w:rsidRPr="00A670CB">
              <w:rPr>
                <w:rFonts w:ascii="Arial" w:hAnsi="Arial" w:cs="Arial"/>
              </w:rPr>
              <w:t xml:space="preserve"> have a set minimum amount payable for regular payments</w:t>
            </w:r>
            <w:r>
              <w:t xml:space="preserve"> </w:t>
            </w:r>
            <w:r w:rsidRPr="00DB649A">
              <w:rPr>
                <w:rFonts w:ascii="Arial" w:hAnsi="Arial" w:cs="Arial"/>
              </w:rPr>
              <w:t>to guardians/beneficiaries</w:t>
            </w:r>
            <w:r>
              <w:rPr>
                <w:rFonts w:ascii="Arial" w:hAnsi="Arial" w:cs="Arial"/>
              </w:rPr>
              <w:t xml:space="preserve"> transferred by the Fund?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7366A" w:rsidTr="002E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beneficiary fund monitor</w:t>
            </w:r>
            <w:r w:rsidRPr="00DB649A">
              <w:rPr>
                <w:rFonts w:ascii="Arial" w:hAnsi="Arial" w:cs="Arial"/>
              </w:rPr>
              <w:t xml:space="preserve"> the impact of administration costs on</w:t>
            </w:r>
            <w:r>
              <w:t xml:space="preserve"> </w:t>
            </w:r>
            <w:r w:rsidRPr="00DB649A">
              <w:rPr>
                <w:rFonts w:ascii="Arial" w:hAnsi="Arial" w:cs="Arial"/>
              </w:rPr>
              <w:t>the members' benefits i.e. prevents costs from eroding members' benefits?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</w:tbl>
    <w:p w:rsidR="001A204E" w:rsidRDefault="001A204E">
      <w:r>
        <w:br w:type="page"/>
      </w:r>
    </w:p>
    <w:tbl>
      <w:tblPr>
        <w:tblW w:w="11159" w:type="dxa"/>
        <w:jc w:val="center"/>
        <w:tblLook w:val="0000" w:firstRow="0" w:lastRow="0" w:firstColumn="0" w:lastColumn="0" w:noHBand="0" w:noVBand="0"/>
      </w:tblPr>
      <w:tblGrid>
        <w:gridCol w:w="941"/>
        <w:gridCol w:w="6468"/>
        <w:gridCol w:w="931"/>
        <w:gridCol w:w="941"/>
        <w:gridCol w:w="941"/>
        <w:gridCol w:w="937"/>
      </w:tblGrid>
      <w:tr w:rsidR="001A204E" w:rsidRPr="00D4228D" w:rsidTr="00250608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E" w:rsidRPr="00D4228D" w:rsidRDefault="001A204E" w:rsidP="0025060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E" w:rsidRPr="00206ECA" w:rsidRDefault="001A204E" w:rsidP="002506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E" w:rsidRPr="00206ECA" w:rsidRDefault="001A204E" w:rsidP="002506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E" w:rsidRPr="00206ECA" w:rsidRDefault="001A204E" w:rsidP="002506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E" w:rsidRPr="00206ECA" w:rsidRDefault="001A204E" w:rsidP="002506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206E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2E355E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B649A">
              <w:rPr>
                <w:rFonts w:ascii="Arial" w:hAnsi="Arial" w:cs="Arial"/>
              </w:rPr>
              <w:t>Does the</w:t>
            </w:r>
            <w:r>
              <w:rPr>
                <w:rFonts w:ascii="Arial" w:hAnsi="Arial" w:cs="Arial"/>
              </w:rPr>
              <w:t xml:space="preserve"> beneficiary fund provide the Fund</w:t>
            </w:r>
            <w:r w:rsidRPr="00DB649A">
              <w:rPr>
                <w:rFonts w:ascii="Arial" w:hAnsi="Arial" w:cs="Arial"/>
              </w:rPr>
              <w:t xml:space="preserve"> with </w:t>
            </w:r>
            <w:proofErr w:type="spellStart"/>
            <w:r w:rsidRPr="00DB649A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any report(s) of the beneficiaries that were transferred by the Fund.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Default="002E355E" w:rsidP="002E35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B649A">
              <w:rPr>
                <w:rFonts w:ascii="Arial" w:hAnsi="Arial" w:cs="Arial"/>
              </w:rPr>
              <w:t>Does the</w:t>
            </w:r>
            <w:r>
              <w:rPr>
                <w:rFonts w:ascii="Arial" w:hAnsi="Arial" w:cs="Arial"/>
              </w:rPr>
              <w:t xml:space="preserve"> beneficiary</w:t>
            </w:r>
            <w:r w:rsidRPr="00DB649A">
              <w:rPr>
                <w:rFonts w:ascii="Arial" w:hAnsi="Arial" w:cs="Arial"/>
              </w:rPr>
              <w:t xml:space="preserve"> fund have set criteria on the payment of the remaining lump sum to the</w:t>
            </w:r>
            <w:r>
              <w:t xml:space="preserve"> </w:t>
            </w:r>
            <w:r w:rsidRPr="00DB649A">
              <w:rPr>
                <w:rFonts w:ascii="Arial" w:hAnsi="Arial" w:cs="Arial"/>
              </w:rPr>
              <w:t>guardian/beneficiary (i.e. benefit reaches a certain amount or beneficiary</w:t>
            </w:r>
            <w:r>
              <w:t xml:space="preserve"> </w:t>
            </w:r>
            <w:r w:rsidRPr="00DB649A">
              <w:rPr>
                <w:rFonts w:ascii="Arial" w:hAnsi="Arial" w:cs="Arial"/>
              </w:rPr>
              <w:t>a certain age other than at majority?)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D4228D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D6EF5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</w:tr>
      <w:tr w:rsidR="002E355E" w:rsidRPr="00D7366A" w:rsidTr="002E355E"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086649" w:rsidRDefault="002E355E" w:rsidP="002E355E">
            <w:pPr>
              <w:pStyle w:val="Header"/>
              <w:tabs>
                <w:tab w:val="clear" w:pos="4153"/>
                <w:tab w:val="clear" w:pos="8306"/>
              </w:tabs>
              <w:ind w:left="661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64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55E" w:rsidRPr="004D6EF5" w:rsidTr="002E355E">
        <w:trPr>
          <w:trHeight w:val="39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5E" w:rsidRDefault="002E355E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</w:rPr>
              <w:t xml:space="preserve">Additional comments: </w:t>
            </w:r>
          </w:p>
        </w:tc>
      </w:tr>
      <w:tr w:rsidR="002E355E" w:rsidRPr="004D6EF5" w:rsidTr="002E355E">
        <w:trPr>
          <w:trHeight w:val="39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55E" w:rsidRPr="004D6EF5" w:rsidTr="002E355E">
        <w:trPr>
          <w:trHeight w:val="39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55E" w:rsidRPr="004D6EF5" w:rsidRDefault="002E355E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44CF1" w:rsidRPr="00086649" w:rsidRDefault="00644CF1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sectPr w:rsidR="00644CF1" w:rsidRPr="00086649" w:rsidSect="009263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5C" w:rsidRDefault="00772D5C" w:rsidP="00EB7B34">
      <w:pPr>
        <w:spacing w:after="0" w:line="240" w:lineRule="auto"/>
      </w:pPr>
      <w:r>
        <w:separator/>
      </w:r>
    </w:p>
  </w:endnote>
  <w:endnote w:type="continuationSeparator" w:id="0">
    <w:p w:rsidR="00772D5C" w:rsidRDefault="00772D5C" w:rsidP="00EB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08" w:rsidRPr="00086649" w:rsidRDefault="00250608" w:rsidP="00086649">
    <w:pPr>
      <w:pStyle w:val="Footer"/>
      <w:tabs>
        <w:tab w:val="clear" w:pos="4680"/>
        <w:tab w:val="center" w:pos="4820"/>
        <w:tab w:val="right" w:pos="9214"/>
      </w:tabs>
      <w:rPr>
        <w:rFonts w:ascii="Arial" w:eastAsia="Calibri" w:hAnsi="Arial"/>
        <w:szCs w:val="20"/>
        <w:lang w:val="en-ZA"/>
      </w:rPr>
    </w:pPr>
    <w:r>
      <w:rPr>
        <w:rFonts w:ascii="Arial" w:eastAsia="Calibri" w:hAnsi="Arial"/>
        <w:szCs w:val="20"/>
        <w:lang w:val="en-ZA"/>
      </w:rPr>
      <w:t>Bridging Provident Fund Service Provider Perf</w:t>
    </w:r>
    <w:r w:rsidR="00F46FF3">
      <w:rPr>
        <w:rFonts w:ascii="Arial" w:eastAsia="Calibri" w:hAnsi="Arial"/>
        <w:szCs w:val="20"/>
        <w:lang w:val="en-ZA"/>
      </w:rPr>
      <w:t>ormance Assessment Document</w:t>
    </w:r>
    <w:r w:rsidR="00F46FF3">
      <w:rPr>
        <w:rFonts w:ascii="Arial" w:eastAsia="Calibri" w:hAnsi="Arial"/>
        <w:szCs w:val="20"/>
        <w:lang w:val="en-ZA"/>
      </w:rPr>
      <w:tab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5C" w:rsidRDefault="00772D5C" w:rsidP="00EB7B34">
      <w:pPr>
        <w:spacing w:after="0" w:line="240" w:lineRule="auto"/>
      </w:pPr>
      <w:r>
        <w:separator/>
      </w:r>
    </w:p>
  </w:footnote>
  <w:footnote w:type="continuationSeparator" w:id="0">
    <w:p w:rsidR="00772D5C" w:rsidRDefault="00772D5C" w:rsidP="00EB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0D7"/>
    <w:multiLevelType w:val="hybridMultilevel"/>
    <w:tmpl w:val="70B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65A"/>
    <w:multiLevelType w:val="multilevel"/>
    <w:tmpl w:val="365003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F6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CA0F5A"/>
    <w:multiLevelType w:val="hybridMultilevel"/>
    <w:tmpl w:val="8F426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06C5"/>
    <w:multiLevelType w:val="hybridMultilevel"/>
    <w:tmpl w:val="DABA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DBE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7D05C2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D1553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8D4BFF"/>
    <w:multiLevelType w:val="hybridMultilevel"/>
    <w:tmpl w:val="6BE25362"/>
    <w:lvl w:ilvl="0" w:tplc="D9263AD2">
      <w:start w:val="8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84BAD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882256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9C066B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FC76D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0C024F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850055"/>
    <w:multiLevelType w:val="multilevel"/>
    <w:tmpl w:val="DA6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C7E94"/>
    <w:multiLevelType w:val="multilevel"/>
    <w:tmpl w:val="8828F2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043261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543BF"/>
    <w:multiLevelType w:val="hybridMultilevel"/>
    <w:tmpl w:val="13FE5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A6FA5"/>
    <w:multiLevelType w:val="hybridMultilevel"/>
    <w:tmpl w:val="75B89A26"/>
    <w:lvl w:ilvl="0" w:tplc="AC642C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A29EE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C9135E"/>
    <w:multiLevelType w:val="hybridMultilevel"/>
    <w:tmpl w:val="4B94C9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050C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C40325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39013A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F32355"/>
    <w:multiLevelType w:val="hybridMultilevel"/>
    <w:tmpl w:val="5DA4DA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30F6E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8"/>
  </w:num>
  <w:num w:numId="5">
    <w:abstractNumId w:val="17"/>
  </w:num>
  <w:num w:numId="6">
    <w:abstractNumId w:val="24"/>
  </w:num>
  <w:num w:numId="7">
    <w:abstractNumId w:val="20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15"/>
  </w:num>
  <w:num w:numId="13">
    <w:abstractNumId w:val="2"/>
  </w:num>
  <w:num w:numId="14">
    <w:abstractNumId w:val="22"/>
  </w:num>
  <w:num w:numId="15">
    <w:abstractNumId w:val="19"/>
  </w:num>
  <w:num w:numId="16">
    <w:abstractNumId w:val="25"/>
  </w:num>
  <w:num w:numId="17">
    <w:abstractNumId w:val="6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  <w:num w:numId="22">
    <w:abstractNumId w:val="7"/>
  </w:num>
  <w:num w:numId="23">
    <w:abstractNumId w:val="5"/>
  </w:num>
  <w:num w:numId="24">
    <w:abstractNumId w:val="12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5A"/>
    <w:rsid w:val="00001C3B"/>
    <w:rsid w:val="00002F3B"/>
    <w:rsid w:val="000356A4"/>
    <w:rsid w:val="00040A4B"/>
    <w:rsid w:val="00062D91"/>
    <w:rsid w:val="00070171"/>
    <w:rsid w:val="00086649"/>
    <w:rsid w:val="000B1105"/>
    <w:rsid w:val="000B55DA"/>
    <w:rsid w:val="000C1F5E"/>
    <w:rsid w:val="000D729F"/>
    <w:rsid w:val="001138AE"/>
    <w:rsid w:val="00147374"/>
    <w:rsid w:val="001511B3"/>
    <w:rsid w:val="001864FD"/>
    <w:rsid w:val="001A204E"/>
    <w:rsid w:val="001A2CC6"/>
    <w:rsid w:val="001B20BB"/>
    <w:rsid w:val="001B60D5"/>
    <w:rsid w:val="001C3DF3"/>
    <w:rsid w:val="001D55DC"/>
    <w:rsid w:val="001F38A3"/>
    <w:rsid w:val="00246371"/>
    <w:rsid w:val="00250608"/>
    <w:rsid w:val="0025554A"/>
    <w:rsid w:val="002824D8"/>
    <w:rsid w:val="002A11A2"/>
    <w:rsid w:val="002A1228"/>
    <w:rsid w:val="002A6749"/>
    <w:rsid w:val="002B7245"/>
    <w:rsid w:val="002E12D0"/>
    <w:rsid w:val="002E355E"/>
    <w:rsid w:val="002F094F"/>
    <w:rsid w:val="003505A5"/>
    <w:rsid w:val="00356A95"/>
    <w:rsid w:val="00365FC5"/>
    <w:rsid w:val="00395F3A"/>
    <w:rsid w:val="00397449"/>
    <w:rsid w:val="003B5FCF"/>
    <w:rsid w:val="003F705E"/>
    <w:rsid w:val="003F761A"/>
    <w:rsid w:val="0041070E"/>
    <w:rsid w:val="00415C4C"/>
    <w:rsid w:val="004206B0"/>
    <w:rsid w:val="004224BC"/>
    <w:rsid w:val="00456B4F"/>
    <w:rsid w:val="004909A0"/>
    <w:rsid w:val="004A5378"/>
    <w:rsid w:val="004D7500"/>
    <w:rsid w:val="005077F5"/>
    <w:rsid w:val="00510046"/>
    <w:rsid w:val="00542912"/>
    <w:rsid w:val="00542935"/>
    <w:rsid w:val="00561D21"/>
    <w:rsid w:val="0056360C"/>
    <w:rsid w:val="00586176"/>
    <w:rsid w:val="00590DE2"/>
    <w:rsid w:val="0059362E"/>
    <w:rsid w:val="00595A36"/>
    <w:rsid w:val="005975BC"/>
    <w:rsid w:val="005B4186"/>
    <w:rsid w:val="005B632D"/>
    <w:rsid w:val="005F2319"/>
    <w:rsid w:val="00644CF1"/>
    <w:rsid w:val="006541D2"/>
    <w:rsid w:val="00674187"/>
    <w:rsid w:val="00684C98"/>
    <w:rsid w:val="0068771A"/>
    <w:rsid w:val="006A11C2"/>
    <w:rsid w:val="006C78C3"/>
    <w:rsid w:val="006D6141"/>
    <w:rsid w:val="007006B2"/>
    <w:rsid w:val="007138F1"/>
    <w:rsid w:val="00715EBF"/>
    <w:rsid w:val="00730245"/>
    <w:rsid w:val="0074514E"/>
    <w:rsid w:val="00766051"/>
    <w:rsid w:val="00771CB8"/>
    <w:rsid w:val="00772D5C"/>
    <w:rsid w:val="00794CCD"/>
    <w:rsid w:val="007A66E2"/>
    <w:rsid w:val="007B0E4F"/>
    <w:rsid w:val="007E33A7"/>
    <w:rsid w:val="00813D32"/>
    <w:rsid w:val="00825BF1"/>
    <w:rsid w:val="00856A14"/>
    <w:rsid w:val="00880738"/>
    <w:rsid w:val="00882DF0"/>
    <w:rsid w:val="008B1ED4"/>
    <w:rsid w:val="008D5052"/>
    <w:rsid w:val="008F2138"/>
    <w:rsid w:val="008F4766"/>
    <w:rsid w:val="00904605"/>
    <w:rsid w:val="0092069E"/>
    <w:rsid w:val="0092635C"/>
    <w:rsid w:val="00930BF2"/>
    <w:rsid w:val="0097479D"/>
    <w:rsid w:val="009A673B"/>
    <w:rsid w:val="009C455A"/>
    <w:rsid w:val="00A10965"/>
    <w:rsid w:val="00A15122"/>
    <w:rsid w:val="00A474DB"/>
    <w:rsid w:val="00A62B7B"/>
    <w:rsid w:val="00A670CB"/>
    <w:rsid w:val="00AA1895"/>
    <w:rsid w:val="00AA21E2"/>
    <w:rsid w:val="00AB7B4F"/>
    <w:rsid w:val="00AC2F02"/>
    <w:rsid w:val="00AD4E1E"/>
    <w:rsid w:val="00B039A4"/>
    <w:rsid w:val="00B104CA"/>
    <w:rsid w:val="00B20058"/>
    <w:rsid w:val="00B21EA6"/>
    <w:rsid w:val="00B35512"/>
    <w:rsid w:val="00B571FA"/>
    <w:rsid w:val="00B60023"/>
    <w:rsid w:val="00B6320C"/>
    <w:rsid w:val="00B67F0A"/>
    <w:rsid w:val="00B7597B"/>
    <w:rsid w:val="00BC0AF0"/>
    <w:rsid w:val="00BC0BD3"/>
    <w:rsid w:val="00BD0B47"/>
    <w:rsid w:val="00BE2F4E"/>
    <w:rsid w:val="00BF0855"/>
    <w:rsid w:val="00C132C9"/>
    <w:rsid w:val="00C14886"/>
    <w:rsid w:val="00C279FE"/>
    <w:rsid w:val="00C27D18"/>
    <w:rsid w:val="00C50DBD"/>
    <w:rsid w:val="00C51182"/>
    <w:rsid w:val="00C61871"/>
    <w:rsid w:val="00C939E4"/>
    <w:rsid w:val="00C97104"/>
    <w:rsid w:val="00CA1A23"/>
    <w:rsid w:val="00CB4FBB"/>
    <w:rsid w:val="00CC7ECC"/>
    <w:rsid w:val="00D03731"/>
    <w:rsid w:val="00D14C23"/>
    <w:rsid w:val="00D21CA9"/>
    <w:rsid w:val="00D3796B"/>
    <w:rsid w:val="00D52A0A"/>
    <w:rsid w:val="00D8194E"/>
    <w:rsid w:val="00D83333"/>
    <w:rsid w:val="00D83654"/>
    <w:rsid w:val="00D91C77"/>
    <w:rsid w:val="00DA58C4"/>
    <w:rsid w:val="00DA6CB6"/>
    <w:rsid w:val="00DA7E61"/>
    <w:rsid w:val="00DB0762"/>
    <w:rsid w:val="00DB649A"/>
    <w:rsid w:val="00DC05A1"/>
    <w:rsid w:val="00DC298E"/>
    <w:rsid w:val="00E02FF5"/>
    <w:rsid w:val="00E22583"/>
    <w:rsid w:val="00E501F9"/>
    <w:rsid w:val="00E511D6"/>
    <w:rsid w:val="00E5268F"/>
    <w:rsid w:val="00E6579C"/>
    <w:rsid w:val="00E80C25"/>
    <w:rsid w:val="00EB7B34"/>
    <w:rsid w:val="00EC367D"/>
    <w:rsid w:val="00EC4F2B"/>
    <w:rsid w:val="00F073B1"/>
    <w:rsid w:val="00F46FF3"/>
    <w:rsid w:val="00F578C3"/>
    <w:rsid w:val="00F70A15"/>
    <w:rsid w:val="00F748A5"/>
    <w:rsid w:val="00F8557D"/>
    <w:rsid w:val="00F8701D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8BCE97"/>
  <w15:docId w15:val="{627041F6-ED26-46C1-A2BD-CA0ECC7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5C"/>
  </w:style>
  <w:style w:type="paragraph" w:styleId="Heading1">
    <w:name w:val="heading 1"/>
    <w:basedOn w:val="Normal"/>
    <w:next w:val="Normal"/>
    <w:link w:val="Heading1Char"/>
    <w:qFormat/>
    <w:rsid w:val="008B1ED4"/>
    <w:pPr>
      <w:keepNext/>
      <w:spacing w:before="240" w:after="60" w:line="36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455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455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813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13D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34"/>
  </w:style>
  <w:style w:type="character" w:customStyle="1" w:styleId="Heading1Char">
    <w:name w:val="Heading 1 Char"/>
    <w:basedOn w:val="DefaultParagraphFont"/>
    <w:link w:val="Heading1"/>
    <w:rsid w:val="008B1ED4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Level4">
    <w:name w:val="Level 4"/>
    <w:basedOn w:val="Normal"/>
    <w:uiPriority w:val="99"/>
    <w:rsid w:val="00730245"/>
    <w:pPr>
      <w:spacing w:after="240" w:line="312" w:lineRule="auto"/>
      <w:jc w:val="both"/>
      <w:outlineLvl w:val="3"/>
    </w:pPr>
    <w:rPr>
      <w:rFonts w:ascii="Verdana" w:eastAsia="Times New Roman" w:hAnsi="Verdana" w:cs="Times New Roman"/>
      <w:sz w:val="20"/>
      <w:szCs w:val="20"/>
      <w:lang w:val="en-ZA" w:eastAsia="en-GB"/>
    </w:rPr>
  </w:style>
  <w:style w:type="paragraph" w:customStyle="1" w:styleId="Default">
    <w:name w:val="Default"/>
    <w:rsid w:val="00415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512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Forbes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moenggo</dc:creator>
  <cp:lastModifiedBy>HP Inc.</cp:lastModifiedBy>
  <cp:revision>2</cp:revision>
  <dcterms:created xsi:type="dcterms:W3CDTF">2024-03-26T08:36:00Z</dcterms:created>
  <dcterms:modified xsi:type="dcterms:W3CDTF">2024-03-26T08:36:00Z</dcterms:modified>
</cp:coreProperties>
</file>